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61" w:rsidRPr="00EB2FC2" w:rsidRDefault="00064CE9" w:rsidP="0012624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استبيان </w:t>
      </w:r>
      <w:r w:rsidR="00126246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رضا الطلاب الدولیین عن الدراسة بجامعة لرستان</w:t>
      </w:r>
    </w:p>
    <w:p w:rsidR="00126246" w:rsidRPr="00EB2FC2" w:rsidRDefault="00126246" w:rsidP="0012624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عزیزي الطالب </w:t>
      </w:r>
    </w:p>
    <w:p w:rsidR="00126246" w:rsidRPr="00EB2FC2" w:rsidRDefault="00126246" w:rsidP="0012624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التحیة الطیبة</w:t>
      </w:r>
    </w:p>
    <w:p w:rsidR="00126246" w:rsidRPr="00EB2FC2" w:rsidRDefault="00126246" w:rsidP="00EB2FC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فقد تم تصمیم هذه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الاستبیان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بغیة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تحدید مدی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رضا الطلاب الدولیین عن الخدمات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المقدمة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في جامعة لرستان و لا شک أن نتائج 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هذا الاستطلاع 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تساعدنا في التخطیط المناسب 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و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تحسین الجودة بالجامعة وهذا هو هدفنا من تصم</w:t>
      </w:r>
      <w:r w:rsidR="000D3016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یم هذه الاستبیان 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ولا یتحقق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الا بتعاونکم في الإجابة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عن الأسئلة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المطروحة. 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رجاءً اقرأوا الأسئلة بشکل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مضبوط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وح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ددوا إجاباتکم 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علماً إن 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إجاباتکم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تتمت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ّ</w:t>
      </w:r>
      <w:r w:rsidR="00C05743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ع بسریة تامة</w:t>
      </w:r>
      <w:r w:rsidR="00861C9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لدینا </w:t>
      </w:r>
      <w:r w:rsidR="00861C9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وأخیراً نشکرکم مقدماً علی منحنا وقتکم الثمین للإجابة علی هذا الاستبیان.</w:t>
      </w:r>
    </w:p>
    <w:p w:rsidR="00861C92" w:rsidRPr="00EB2FC2" w:rsidRDefault="00861C92" w:rsidP="00861C9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نوع القبول في الجامعة: عن طريق المؤسسة   </w:t>
      </w:r>
      <w:r w:rsidR="00EB2FC2"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="00EB2FC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         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الشخصية</w:t>
      </w:r>
      <w:r w:rsidR="00EB2FC2"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</w:p>
    <w:p w:rsidR="00861C92" w:rsidRPr="00EB2FC2" w:rsidRDefault="00861C92" w:rsidP="00861C9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الجنس: أنثى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ذكر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</w:p>
    <w:p w:rsidR="00861C92" w:rsidRPr="00EB2FC2" w:rsidRDefault="00FA2594" w:rsidP="00861C9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المرحلة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دراسیة</w:t>
      </w:r>
      <w:r w:rsidR="00861C92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: بكالوريوس، ماجستير، دكتوراه</w:t>
      </w:r>
    </w:p>
    <w:p w:rsidR="00861C92" w:rsidRPr="00EB2FC2" w:rsidRDefault="00861C92" w:rsidP="00064CE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الكلية: الآداب والعلوم الإنسانية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الإدارة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والاقتصاد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کلیة الهندسة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العلوم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الأساسية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الكيمياء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الطب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البيطري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الزراعة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الموارد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الطبيعية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المرکز التعلیمي بمدینة نورآباد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المرکز التعلیمي بمدینة بولدختر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المرکز التعلیمي بالشتر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="00064CE9"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المرکز التعلیمي بکوهدشت</w:t>
      </w:r>
      <w:r w:rsidRPr="00EB2FC2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EB2FC2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□</w:t>
      </w: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64CE9" w:rsidRDefault="00064CE9" w:rsidP="00064CE9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701"/>
        <w:gridCol w:w="5945"/>
        <w:gridCol w:w="426"/>
        <w:gridCol w:w="425"/>
        <w:gridCol w:w="438"/>
        <w:gridCol w:w="412"/>
        <w:gridCol w:w="426"/>
      </w:tblGrid>
      <w:tr w:rsidR="00064CE9" w:rsidRPr="00064CE9" w:rsidTr="002E6DFC">
        <w:trPr>
          <w:cantSplit/>
          <w:trHeight w:val="983"/>
          <w:jc w:val="center"/>
        </w:trPr>
        <w:tc>
          <w:tcPr>
            <w:tcW w:w="571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064CE9" w:rsidRPr="00064CE9" w:rsidRDefault="00064CE9" w:rsidP="00064CE9">
            <w:pPr>
              <w:tabs>
                <w:tab w:val="left" w:pos="1474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5" w:type="dxa"/>
            <w:shd w:val="clear" w:color="auto" w:fill="E7E6E6" w:themeFill="background2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کثیر جداً</w:t>
            </w:r>
          </w:p>
        </w:tc>
        <w:tc>
          <w:tcPr>
            <w:tcW w:w="425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کثیراً</w:t>
            </w:r>
          </w:p>
        </w:tc>
        <w:tc>
          <w:tcPr>
            <w:tcW w:w="438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لحدما</w:t>
            </w:r>
          </w:p>
        </w:tc>
        <w:tc>
          <w:tcPr>
            <w:tcW w:w="412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قلیل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قلیل جدا</w:t>
            </w:r>
          </w:p>
        </w:tc>
      </w:tr>
      <w:tr w:rsidR="00064CE9" w:rsidRPr="00064CE9" w:rsidTr="002E6DFC">
        <w:trPr>
          <w:jc w:val="center"/>
        </w:trPr>
        <w:tc>
          <w:tcPr>
            <w:tcW w:w="571" w:type="dxa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064CE9" w:rsidRPr="00064CE9" w:rsidRDefault="00064CE9" w:rsidP="00064CE9">
            <w:pPr>
              <w:tabs>
                <w:tab w:val="left" w:pos="1474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الریاضة</w:t>
            </w:r>
          </w:p>
        </w:tc>
        <w:tc>
          <w:tcPr>
            <w:tcW w:w="5945" w:type="dxa"/>
          </w:tcPr>
          <w:p w:rsidR="00D12885" w:rsidRPr="002A202F" w:rsidRDefault="00D12885" w:rsidP="00D1288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ما مدى رضاك </w:t>
            </w:r>
            <w:r w:rsidRPr="002A20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​​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إقامة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المسابقات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والألعاب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بالجامعة؟</w:t>
            </w: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64CE9" w:rsidRPr="00064CE9" w:rsidTr="002E6DFC">
        <w:trPr>
          <w:trHeight w:val="377"/>
          <w:jc w:val="center"/>
        </w:trPr>
        <w:tc>
          <w:tcPr>
            <w:tcW w:w="571" w:type="dxa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vMerge/>
          </w:tcPr>
          <w:p w:rsidR="00064CE9" w:rsidRPr="0000318D" w:rsidRDefault="00064CE9" w:rsidP="00064CE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064CE9" w:rsidRPr="002A202F" w:rsidRDefault="00D12885" w:rsidP="00064CE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ما مدى رضاك </w:t>
            </w:r>
            <w:r w:rsidRPr="002A20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​​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عن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طريقة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الإعلان عن الفعاليات الرياضية بالجامعة؟</w:t>
            </w: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64CE9" w:rsidRPr="00064CE9" w:rsidTr="002E6DFC">
        <w:trPr>
          <w:trHeight w:val="345"/>
          <w:jc w:val="center"/>
        </w:trPr>
        <w:tc>
          <w:tcPr>
            <w:tcW w:w="571" w:type="dxa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</w:tcPr>
          <w:p w:rsidR="00064CE9" w:rsidRPr="00064CE9" w:rsidRDefault="00D12885" w:rsidP="00064CE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مرکز الاستشارة والصحة</w:t>
            </w:r>
          </w:p>
        </w:tc>
        <w:tc>
          <w:tcPr>
            <w:tcW w:w="5945" w:type="dxa"/>
            <w:vAlign w:val="center"/>
          </w:tcPr>
          <w:p w:rsidR="00064CE9" w:rsidRPr="00064CE9" w:rsidRDefault="00D12885" w:rsidP="00064CE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ما مدى رضاك </w:t>
            </w:r>
            <w:r w:rsidRPr="002A20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​​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عن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برامج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وخدمات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مركز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الاستشارة؟</w:t>
            </w: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064CE9" w:rsidRPr="00064CE9" w:rsidRDefault="00064CE9" w:rsidP="00064CE9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88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الغذاء والشؤون الرفاهية</w:t>
            </w: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>ما مدى رضاكم عن جودة الطعام الذي تقدمه الجامعة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 xml:space="preserve"> في الکافتیریا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ما مدى رضاك </w:t>
            </w:r>
            <w:r w:rsidRPr="002A202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​​</w:t>
            </w:r>
            <w:r w:rsidRPr="002A202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عن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رعایة الصحة والأصول العلمية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للطعام في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کافتیریا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المقصف والبوفیة</w:t>
            </w: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>مامدی جودة  نوعية وكمية ال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fa-IR"/>
              </w:rPr>
              <w:t>أطعمة التي تقدمها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fa-IR"/>
              </w:rPr>
              <w:t>بوفيه 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2A202F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طريقة</w:t>
            </w: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تعامل</w:t>
            </w: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بائعي</w:t>
            </w: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البوفيه</w:t>
            </w:r>
            <w:r w:rsidRPr="002A202F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2A202F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وتفاعلهم؟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تمكين الطلاب</w:t>
            </w: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761A6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ما مدى رضاك </w:t>
            </w:r>
            <w:r w:rsidRPr="00761A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​​</w:t>
            </w:r>
            <w:r w:rsidRPr="00761A6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 w:rsidRPr="00761A6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إقامة ورشات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العمل القائمة على المهارات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 xml:space="preserve"> في 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761A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دورات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تمكين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الطلاب؟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الاینترنت</w:t>
            </w: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761A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جودة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شبكة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الإنترنت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بالجامعة؟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761A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أنظمة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الحاسوب بالجامعة؟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الأمور الثقافیة والعلاقات العامة</w:t>
            </w: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761A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761A6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الموقع الأخباري والإعلان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ات</w:t>
            </w:r>
            <w:r w:rsidRPr="00761A6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للجامعة؟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00318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جودة</w:t>
            </w: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الفعاليات</w:t>
            </w: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التي</w:t>
            </w: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تنظمها</w:t>
            </w: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0318D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>الموظفین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إلى أي مدى يمتلك الموظفون المعرفة التي يحتاجونها؟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0318D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إلى أي مدى أنت راض عن سرعة استجابة الموظفين لطلبات الطلاب؟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701" w:type="dxa"/>
            <w:vMerge w:val="restart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النقل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ما مدى رضاك </w:t>
            </w:r>
            <w:r w:rsidRPr="001360C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خدمات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النقل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بالجامعة؟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  <w:vMerge/>
          </w:tcPr>
          <w:p w:rsidR="009E08AC" w:rsidRPr="001360C4" w:rsidRDefault="009E08AC" w:rsidP="009E08AC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مامدی رضاک عن عوامل النقل بالجامعة؟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  <w:vMerge w:val="restart"/>
          </w:tcPr>
          <w:p w:rsidR="009E08AC" w:rsidRPr="001360C4" w:rsidRDefault="009E08AC" w:rsidP="009E08A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</w:rPr>
              <w:t>الرضا عن المسؤولین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مامدی رضاک عن أداء وسلوک رئیس القسم؟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1701" w:type="dxa"/>
            <w:vMerge/>
          </w:tcPr>
          <w:p w:rsidR="009E08AC" w:rsidRPr="001360C4" w:rsidRDefault="009E08AC" w:rsidP="009E08A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حدد مستوی رضاک عن أداء وتعامل رئیس الکلیة؟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  <w:vMerge w:val="restart"/>
          </w:tcPr>
          <w:p w:rsidR="009E08AC" w:rsidRPr="001360C4" w:rsidRDefault="009E08AC" w:rsidP="009E08A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</w:rPr>
              <w:t>المهجع وسکن الجامعة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إذا كنت تستخدم المهجع، حدد مدی رضاک عن نظافة المهجع ومرافق الرعاية الاجتماعية (الرياضة، وما إلى ذلك) في المهجع؟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في حالة حضورک في المهج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وسکن الجامعة، ما مدى رضاك </w:t>
            </w:r>
            <w:r w:rsidRPr="001360C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الأمن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1360C4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و</w:t>
            </w: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تعامل الحراس والمشرفين للمهجع؟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1701" w:type="dxa"/>
            <w:vMerge w:val="restart"/>
          </w:tcPr>
          <w:p w:rsidR="009E08AC" w:rsidRPr="001360C4" w:rsidRDefault="009E08AC" w:rsidP="009E08A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</w:rPr>
              <w:t>المکتبة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1360C4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مامدی رضاک عن خدمات الإعارة والقراءة التي تقدمها المكتبة؟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D3016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>إلى أي مدى أنت راضٍ عن إمكانية الوصول إلى المصادر الإلكترونية (الإنترنت، وما إلى ذلك)؟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701" w:type="dxa"/>
            <w:vMerge w:val="restart"/>
          </w:tcPr>
          <w:p w:rsidR="009E08AC" w:rsidRPr="000D3016" w:rsidRDefault="009E08AC" w:rsidP="009E08AC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الشؤون الدولیة</w:t>
            </w:r>
          </w:p>
        </w:tc>
        <w:tc>
          <w:tcPr>
            <w:tcW w:w="5945" w:type="dxa"/>
          </w:tcPr>
          <w:p w:rsidR="009E08AC" w:rsidRPr="00064CE9" w:rsidRDefault="009E08AC" w:rsidP="009E08A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</w:pPr>
            <w:r w:rsidRPr="000D3016">
              <w:rPr>
                <w:rFonts w:ascii="Traditional Arabic" w:hAnsi="Traditional Arabic" w:cs="Traditional Arabic"/>
                <w:b/>
                <w:bCs/>
                <w:rtl/>
              </w:rPr>
              <w:t>حدد</w:t>
            </w:r>
            <w:r w:rsidRPr="000D3016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مستوى رضاك </w:t>
            </w:r>
            <w:r w:rsidRPr="000D3016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​​</w:t>
            </w:r>
            <w:r w:rsidRPr="000D3016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عن</w:t>
            </w:r>
            <w:r w:rsidRPr="000D3016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rtl/>
                <w:lang w:bidi="fa-IR"/>
              </w:rPr>
              <w:t>أداء</w:t>
            </w:r>
            <w:r w:rsidRPr="000D3016">
              <w:rPr>
                <w:rFonts w:ascii="Traditional Arabic" w:hAnsi="Traditional Arabic" w:cs="Traditional Arabic"/>
                <w:b/>
                <w:bCs/>
                <w:rtl/>
                <w:lang w:bidi="fa-IR"/>
              </w:rPr>
              <w:t xml:space="preserve"> وسلوک موظفي قسم التعاون العلمي والدولي في 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E08AC" w:rsidRPr="00064CE9" w:rsidTr="002E6DFC">
        <w:trPr>
          <w:trHeight w:val="316"/>
          <w:jc w:val="center"/>
        </w:trPr>
        <w:tc>
          <w:tcPr>
            <w:tcW w:w="571" w:type="dxa"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064CE9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  <w:vMerge/>
          </w:tcPr>
          <w:p w:rsidR="009E08AC" w:rsidRPr="00064CE9" w:rsidRDefault="009E08AC" w:rsidP="009E08AC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45" w:type="dxa"/>
            <w:vAlign w:val="center"/>
          </w:tcPr>
          <w:p w:rsidR="009E08AC" w:rsidRPr="00064CE9" w:rsidRDefault="009E08AC" w:rsidP="009E08AC">
            <w:pPr>
              <w:tabs>
                <w:tab w:val="left" w:pos="1474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</w:pP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ما مدى رضاك </w:t>
            </w:r>
            <w:r w:rsidRPr="000D301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​​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طريقة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القبول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والتسجيل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من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قبل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قسم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التعاون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العلمي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والدولي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في</w:t>
            </w:r>
            <w:r w:rsidRPr="000D3016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D3016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fa-IR"/>
              </w:rPr>
              <w:t>الجامعة؟</w:t>
            </w: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2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E08AC" w:rsidRPr="00064CE9" w:rsidRDefault="009E08AC" w:rsidP="009E08AC">
            <w:pPr>
              <w:tabs>
                <w:tab w:val="left" w:pos="1474"/>
              </w:tabs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064CE9" w:rsidRPr="00126246" w:rsidRDefault="00064CE9" w:rsidP="00064CE9">
      <w:p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fa-IR"/>
        </w:rPr>
      </w:pPr>
      <w:bookmarkStart w:id="0" w:name="_GoBack"/>
      <w:bookmarkEnd w:id="0"/>
    </w:p>
    <w:sectPr w:rsidR="00064CE9" w:rsidRPr="0012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A"/>
    <w:rsid w:val="0000318D"/>
    <w:rsid w:val="00064CE9"/>
    <w:rsid w:val="000D3016"/>
    <w:rsid w:val="00126246"/>
    <w:rsid w:val="001360C4"/>
    <w:rsid w:val="002A202F"/>
    <w:rsid w:val="006903D8"/>
    <w:rsid w:val="006A2669"/>
    <w:rsid w:val="00761A6D"/>
    <w:rsid w:val="00861C92"/>
    <w:rsid w:val="009E08AC"/>
    <w:rsid w:val="00AC5E3A"/>
    <w:rsid w:val="00C05743"/>
    <w:rsid w:val="00CC3885"/>
    <w:rsid w:val="00D12885"/>
    <w:rsid w:val="00EA2D61"/>
    <w:rsid w:val="00EB2FC2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4295"/>
  <w15:chartTrackingRefBased/>
  <w15:docId w15:val="{3759B186-3EEC-4127-A500-9DDC9E0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TAI</dc:creator>
  <cp:keywords/>
  <dc:description/>
  <cp:lastModifiedBy>davood</cp:lastModifiedBy>
  <cp:revision>4</cp:revision>
  <dcterms:created xsi:type="dcterms:W3CDTF">2024-02-20T06:57:00Z</dcterms:created>
  <dcterms:modified xsi:type="dcterms:W3CDTF">2024-02-20T08:12:00Z</dcterms:modified>
</cp:coreProperties>
</file>